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E8E" w:rsidRDefault="001A0E8E" w:rsidP="001A0E8E">
      <w:pPr>
        <w:pStyle w:val="a3"/>
      </w:pPr>
    </w:p>
    <w:p w:rsidR="005B39CA" w:rsidRPr="001A0E8E" w:rsidRDefault="005B39CA" w:rsidP="005B39CA">
      <w:pPr>
        <w:shd w:val="clear" w:color="auto" w:fill="FFFFFF"/>
        <w:spacing w:after="0" w:line="396" w:lineRule="atLeast"/>
        <w:jc w:val="both"/>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lang w:eastAsia="ru-RU"/>
        </w:rPr>
        <w:t xml:space="preserve">Что такое скрытое </w:t>
      </w:r>
      <w:proofErr w:type="spellStart"/>
      <w:r w:rsidRPr="001A0E8E">
        <w:rPr>
          <w:rFonts w:ascii="Tahoma" w:eastAsia="Times New Roman" w:hAnsi="Tahoma" w:cs="Tahoma"/>
          <w:b/>
          <w:bCs/>
          <w:i/>
          <w:iCs/>
          <w:color w:val="F15B67"/>
          <w:sz w:val="36"/>
          <w:szCs w:val="36"/>
          <w:lang w:eastAsia="ru-RU"/>
        </w:rPr>
        <w:t>левшество</w:t>
      </w:r>
      <w:proofErr w:type="spellEnd"/>
      <w:r w:rsidRPr="001A0E8E">
        <w:rPr>
          <w:rFonts w:ascii="Tahoma" w:eastAsia="Times New Roman" w:hAnsi="Tahoma" w:cs="Tahoma"/>
          <w:b/>
          <w:bCs/>
          <w:i/>
          <w:iCs/>
          <w:color w:val="F15B67"/>
          <w:sz w:val="36"/>
          <w:szCs w:val="36"/>
          <w:lang w:eastAsia="ru-RU"/>
        </w:rPr>
        <w:t>?</w:t>
      </w:r>
    </w:p>
    <w:p w:rsidR="005B39CA" w:rsidRPr="001A0E8E" w:rsidRDefault="005B39CA" w:rsidP="005B39CA">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xml:space="preserve">Таким термином характеризуются дети, пишущие правой рукой, но ведущим полушарием у них остается </w:t>
      </w:r>
      <w:proofErr w:type="gramStart"/>
      <w:r w:rsidRPr="001A0E8E">
        <w:rPr>
          <w:rFonts w:ascii="Tahoma" w:eastAsia="Times New Roman" w:hAnsi="Tahoma" w:cs="Tahoma"/>
          <w:color w:val="222222"/>
          <w:sz w:val="24"/>
          <w:szCs w:val="24"/>
          <w:lang w:eastAsia="ru-RU"/>
        </w:rPr>
        <w:t>правое</w:t>
      </w:r>
      <w:proofErr w:type="gramEnd"/>
      <w:r w:rsidRPr="001A0E8E">
        <w:rPr>
          <w:rFonts w:ascii="Tahoma" w:eastAsia="Times New Roman" w:hAnsi="Tahoma" w:cs="Tahoma"/>
          <w:color w:val="222222"/>
          <w:sz w:val="24"/>
          <w:szCs w:val="24"/>
          <w:lang w:eastAsia="ru-RU"/>
        </w:rPr>
        <w:t>, как у тех детей, которые пишут левой рукой. Именно скрытые левши, чаще всего, и испытывают трудности в обучении в школе.</w:t>
      </w:r>
    </w:p>
    <w:p w:rsidR="005B39CA" w:rsidRPr="001A0E8E" w:rsidRDefault="005B39CA" w:rsidP="005B39CA">
      <w:pPr>
        <w:shd w:val="clear" w:color="auto" w:fill="FFFFFF"/>
        <w:spacing w:after="0" w:line="396" w:lineRule="atLeast"/>
        <w:jc w:val="both"/>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lang w:eastAsia="ru-RU"/>
        </w:rPr>
        <w:t>Правша или левша?</w:t>
      </w:r>
    </w:p>
    <w:p w:rsidR="005B39CA" w:rsidRPr="001A0E8E" w:rsidRDefault="005B39CA" w:rsidP="005B39CA">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Существует множество способов определить ведущую руку ребенка. Например, можно попросить малыша отвинтить крышку на бутылке, стереть что-то ластиком, протянуть ему ложку или какой-то предмет и попросить его взять его, воспользоваться ножницами, переложить что-то из одной коробки в другую. Специалисты советуют давать малышам непривычные и неожиданные для них задания, которым их не обучали, чтобы увидеть более естественную реакцию со стороны детей. Т.е., предполагается, что в неподготовленной ситуации ребенок будет выполнять задание так, как удобно именно ему.</w:t>
      </w:r>
    </w:p>
    <w:p w:rsidR="005B39CA" w:rsidRPr="001A0E8E" w:rsidRDefault="005B39CA" w:rsidP="005B39CA">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xml:space="preserve">Та рука, которой малыш будет выполнять </w:t>
      </w:r>
      <w:proofErr w:type="gramStart"/>
      <w:r w:rsidRPr="001A0E8E">
        <w:rPr>
          <w:rFonts w:ascii="Tahoma" w:eastAsia="Times New Roman" w:hAnsi="Tahoma" w:cs="Tahoma"/>
          <w:color w:val="222222"/>
          <w:sz w:val="24"/>
          <w:szCs w:val="24"/>
          <w:lang w:eastAsia="ru-RU"/>
        </w:rPr>
        <w:t>такие</w:t>
      </w:r>
      <w:proofErr w:type="gramEnd"/>
      <w:r w:rsidRPr="001A0E8E">
        <w:rPr>
          <w:rFonts w:ascii="Tahoma" w:eastAsia="Times New Roman" w:hAnsi="Tahoma" w:cs="Tahoma"/>
          <w:color w:val="222222"/>
          <w:sz w:val="24"/>
          <w:szCs w:val="24"/>
          <w:lang w:eastAsia="ru-RU"/>
        </w:rPr>
        <w:t xml:space="preserve"> задание и является у него ведущей.</w:t>
      </w:r>
    </w:p>
    <w:p w:rsidR="005B39CA" w:rsidRPr="001A0E8E" w:rsidRDefault="005B39CA" w:rsidP="005B39CA">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Деткам-левшам, скрытым левшам и тем, кто владеет одинаково правой и левой руками требуется особое внимание в процессе подготовки и обучения письму.</w:t>
      </w:r>
    </w:p>
    <w:p w:rsidR="00A314FE" w:rsidRPr="005B39CA" w:rsidRDefault="005B39CA" w:rsidP="005B39CA">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Следует помнить, что упражнения с дошкольниками необходимо выполнять, используя простой карандаш там, где он требуется.</w:t>
      </w:r>
    </w:p>
    <w:p w:rsidR="00A314FE" w:rsidRDefault="00A314FE" w:rsidP="001A0E8E">
      <w:pPr>
        <w:pStyle w:val="a3"/>
      </w:pPr>
    </w:p>
    <w:p w:rsidR="00A314FE" w:rsidRDefault="00A314FE" w:rsidP="001A0E8E">
      <w:pPr>
        <w:pStyle w:val="a3"/>
      </w:pPr>
    </w:p>
    <w:p w:rsidR="00A314FE" w:rsidRDefault="00A314FE" w:rsidP="001A0E8E">
      <w:pPr>
        <w:pStyle w:val="a3"/>
      </w:pPr>
    </w:p>
    <w:p w:rsidR="001A0E8E" w:rsidRDefault="001A0E8E" w:rsidP="001A0E8E">
      <w:pPr>
        <w:pStyle w:val="a3"/>
      </w:pPr>
    </w:p>
    <w:p w:rsidR="001A0E8E" w:rsidRDefault="001A0E8E" w:rsidP="001A0E8E">
      <w:pPr>
        <w:shd w:val="clear" w:color="auto" w:fill="FFFFFF"/>
        <w:spacing w:after="0" w:line="495" w:lineRule="atLeast"/>
        <w:jc w:val="both"/>
        <w:textAlignment w:val="baseline"/>
        <w:outlineLvl w:val="1"/>
        <w:rPr>
          <w:rFonts w:ascii="Tahoma" w:eastAsia="Times New Roman" w:hAnsi="Tahoma" w:cs="Tahoma"/>
          <w:b/>
          <w:bCs/>
          <w:i/>
          <w:iCs/>
          <w:color w:val="F15B67"/>
          <w:sz w:val="45"/>
          <w:szCs w:val="45"/>
          <w:lang w:eastAsia="ru-RU"/>
        </w:rPr>
      </w:pPr>
      <w:r w:rsidRPr="001A0E8E">
        <w:rPr>
          <w:rFonts w:ascii="Tahoma" w:eastAsia="Times New Roman" w:hAnsi="Tahoma" w:cs="Tahoma"/>
          <w:b/>
          <w:bCs/>
          <w:i/>
          <w:iCs/>
          <w:color w:val="F15B67"/>
          <w:sz w:val="45"/>
          <w:szCs w:val="45"/>
          <w:lang w:eastAsia="ru-RU"/>
        </w:rPr>
        <w:t>Упражнения для рук при подготовке руки к письму</w:t>
      </w:r>
    </w:p>
    <w:p w:rsidR="00574B01" w:rsidRPr="001A0E8E" w:rsidRDefault="00574B01" w:rsidP="001A0E8E">
      <w:pPr>
        <w:shd w:val="clear" w:color="auto" w:fill="FFFFFF"/>
        <w:spacing w:after="0" w:line="495" w:lineRule="atLeast"/>
        <w:jc w:val="both"/>
        <w:textAlignment w:val="baseline"/>
        <w:outlineLvl w:val="1"/>
        <w:rPr>
          <w:rFonts w:ascii="Tahoma" w:eastAsia="Times New Roman" w:hAnsi="Tahoma" w:cs="Tahoma"/>
          <w:b/>
          <w:bCs/>
          <w:i/>
          <w:iCs/>
          <w:color w:val="F15B67"/>
          <w:sz w:val="45"/>
          <w:szCs w:val="45"/>
          <w:lang w:eastAsia="ru-RU"/>
        </w:rPr>
      </w:pPr>
    </w:p>
    <w:p w:rsidR="00574B01" w:rsidRPr="001A0E8E" w:rsidRDefault="00574B01" w:rsidP="00574B01">
      <w:pPr>
        <w:shd w:val="clear" w:color="auto" w:fill="FFFFFF"/>
        <w:spacing w:after="0" w:line="396" w:lineRule="atLeast"/>
        <w:jc w:val="both"/>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lang w:eastAsia="ru-RU"/>
        </w:rPr>
        <w:t>Что помогает подготовке руки к письму?</w:t>
      </w:r>
    </w:p>
    <w:p w:rsidR="00574B01" w:rsidRPr="001A0E8E" w:rsidRDefault="00574B01" w:rsidP="00574B01">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Предлагаем вам ознакомиться со списком самых эффективных занятий в деле подготовки руки вашего малыша к письму:</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игры с мозаикой;</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конструкторы (особенно те, где можно завинчивать различные шурупы и гайки);</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работа с бумагой, проволокой (бусы, поделки, гирлянды, оригами и пр.);</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xml:space="preserve">плетение браслетов, шнурков, </w:t>
      </w:r>
      <w:proofErr w:type="spellStart"/>
      <w:r w:rsidRPr="001A0E8E">
        <w:rPr>
          <w:rFonts w:ascii="Tahoma" w:eastAsia="Times New Roman" w:hAnsi="Tahoma" w:cs="Tahoma"/>
          <w:color w:val="222222"/>
          <w:sz w:val="24"/>
          <w:szCs w:val="24"/>
          <w:lang w:eastAsia="ru-RU"/>
        </w:rPr>
        <w:t>бисероплетение</w:t>
      </w:r>
      <w:proofErr w:type="spellEnd"/>
      <w:r w:rsidRPr="001A0E8E">
        <w:rPr>
          <w:rFonts w:ascii="Tahoma" w:eastAsia="Times New Roman" w:hAnsi="Tahoma" w:cs="Tahoma"/>
          <w:color w:val="222222"/>
          <w:sz w:val="24"/>
          <w:szCs w:val="24"/>
          <w:lang w:eastAsia="ru-RU"/>
        </w:rPr>
        <w:t xml:space="preserve"> и пр.;</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вязальные работы крючком и спицами;</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вышивка;</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шитье и пришивание (пуговиц, например);</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вырезание ножницами;</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использование раскрасок, рисование (в том числе, мелом);</w:t>
      </w:r>
    </w:p>
    <w:p w:rsidR="00574B01" w:rsidRPr="001A0E8E" w:rsidRDefault="00574B01" w:rsidP="00574B01">
      <w:pPr>
        <w:numPr>
          <w:ilvl w:val="0"/>
          <w:numId w:val="1"/>
        </w:numPr>
        <w:shd w:val="clear" w:color="auto" w:fill="FFFFFF"/>
        <w:spacing w:after="0" w:line="240" w:lineRule="auto"/>
        <w:ind w:left="450"/>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ручной труд: выжигание, выпиливание, лепка, </w:t>
      </w:r>
      <w:hyperlink r:id="rId7" w:tgtFrame="_blank" w:history="1">
        <w:r w:rsidRPr="001A0E8E">
          <w:rPr>
            <w:rFonts w:ascii="Tahoma" w:eastAsia="Times New Roman" w:hAnsi="Tahoma" w:cs="Tahoma"/>
            <w:color w:val="00B59E"/>
            <w:sz w:val="24"/>
            <w:szCs w:val="24"/>
            <w:u w:val="single"/>
            <w:bdr w:val="none" w:sz="0" w:space="0" w:color="auto" w:frame="1"/>
            <w:lang w:eastAsia="ru-RU"/>
          </w:rPr>
          <w:t>аппликация</w:t>
        </w:r>
      </w:hyperlink>
      <w:r w:rsidRPr="001A0E8E">
        <w:rPr>
          <w:rFonts w:ascii="Tahoma" w:eastAsia="Times New Roman" w:hAnsi="Tahoma" w:cs="Tahoma"/>
          <w:color w:val="222222"/>
          <w:sz w:val="24"/>
          <w:szCs w:val="24"/>
          <w:lang w:eastAsia="ru-RU"/>
        </w:rPr>
        <w:t>.</w:t>
      </w:r>
    </w:p>
    <w:p w:rsidR="00574B01" w:rsidRDefault="00574B01" w:rsidP="00574B01">
      <w:pPr>
        <w:pStyle w:val="a3"/>
      </w:pPr>
    </w:p>
    <w:p w:rsidR="001A0E8E" w:rsidRDefault="001A0E8E" w:rsidP="001A0E8E">
      <w:pPr>
        <w:pStyle w:val="a3"/>
      </w:pPr>
    </w:p>
    <w:p w:rsidR="001A0E8E" w:rsidRDefault="001A0E8E" w:rsidP="001A0E8E">
      <w:pPr>
        <w:pStyle w:val="a3"/>
      </w:pPr>
    </w:p>
    <w:p w:rsidR="005B39CA" w:rsidRDefault="005B39CA" w:rsidP="001A0E8E">
      <w:pPr>
        <w:pStyle w:val="a3"/>
      </w:pPr>
    </w:p>
    <w:p w:rsidR="005B39CA" w:rsidRDefault="005B39CA" w:rsidP="001A0E8E">
      <w:pPr>
        <w:pStyle w:val="a3"/>
      </w:pPr>
    </w:p>
    <w:p w:rsidR="005B39CA" w:rsidRDefault="005B39CA" w:rsidP="001A0E8E">
      <w:pPr>
        <w:pStyle w:val="a3"/>
      </w:pPr>
    </w:p>
    <w:p w:rsidR="005B39CA" w:rsidRDefault="005B39CA" w:rsidP="001A0E8E">
      <w:pPr>
        <w:pStyle w:val="a3"/>
      </w:pPr>
    </w:p>
    <w:p w:rsidR="005B39CA" w:rsidRDefault="005B39CA" w:rsidP="001A0E8E">
      <w:pPr>
        <w:pStyle w:val="a3"/>
      </w:pPr>
    </w:p>
    <w:p w:rsidR="005B39CA" w:rsidRDefault="005B39CA" w:rsidP="001A0E8E">
      <w:pPr>
        <w:pStyle w:val="a3"/>
      </w:pPr>
    </w:p>
    <w:p w:rsidR="005B39CA" w:rsidRDefault="005B39CA" w:rsidP="001A0E8E">
      <w:pPr>
        <w:pStyle w:val="a3"/>
      </w:pPr>
    </w:p>
    <w:p w:rsidR="005B39CA" w:rsidRDefault="005B39CA" w:rsidP="001A0E8E">
      <w:pPr>
        <w:pStyle w:val="a3"/>
      </w:pPr>
    </w:p>
    <w:p w:rsidR="001A0E8E" w:rsidRPr="001A0E8E" w:rsidRDefault="001A0E8E"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bdr w:val="none" w:sz="0" w:space="0" w:color="auto" w:frame="1"/>
          <w:lang w:eastAsia="ru-RU"/>
        </w:rPr>
        <w:lastRenderedPageBreak/>
        <w:t>Упражнение «Новая волна»</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Ручки малыша лежат на твердой поверхности, как в упражнении 1. Только теперь нужно поднимать пальчики друг за дружкой на разных руках в одно и то же время. Начинать следует с мизинчиков.</w:t>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noProof/>
          <w:color w:val="222222"/>
          <w:sz w:val="24"/>
          <w:szCs w:val="24"/>
          <w:lang w:eastAsia="ru-RU"/>
        </w:rPr>
        <w:drawing>
          <wp:inline distT="0" distB="0" distL="0" distR="0" wp14:anchorId="1336C6C7" wp14:editId="37747651">
            <wp:extent cx="4295775" cy="3488169"/>
            <wp:effectExtent l="0" t="0" r="0" b="0"/>
            <wp:docPr id="1" name="Рисунок 1" descr="volna_500x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na_500x4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3488169"/>
                    </a:xfrm>
                    <a:prstGeom prst="rect">
                      <a:avLst/>
                    </a:prstGeom>
                    <a:noFill/>
                    <a:ln>
                      <a:noFill/>
                    </a:ln>
                  </pic:spPr>
                </pic:pic>
              </a:graphicData>
            </a:graphic>
          </wp:inline>
        </w:drawing>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574B01" w:rsidRDefault="00574B01"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bdr w:val="none" w:sz="0" w:space="0" w:color="auto" w:frame="1"/>
          <w:lang w:eastAsia="ru-RU"/>
        </w:rPr>
      </w:pPr>
    </w:p>
    <w:p w:rsidR="00574B01" w:rsidRDefault="00574B01"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bdr w:val="none" w:sz="0" w:space="0" w:color="auto" w:frame="1"/>
          <w:lang w:eastAsia="ru-RU"/>
        </w:rPr>
      </w:pPr>
    </w:p>
    <w:p w:rsidR="001A0E8E" w:rsidRPr="001A0E8E" w:rsidRDefault="001A0E8E"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bdr w:val="none" w:sz="0" w:space="0" w:color="auto" w:frame="1"/>
          <w:lang w:eastAsia="ru-RU"/>
        </w:rPr>
        <w:t>Упражнение «</w:t>
      </w:r>
      <w:proofErr w:type="spellStart"/>
      <w:r w:rsidRPr="001A0E8E">
        <w:rPr>
          <w:rFonts w:ascii="Tahoma" w:eastAsia="Times New Roman" w:hAnsi="Tahoma" w:cs="Tahoma"/>
          <w:b/>
          <w:bCs/>
          <w:i/>
          <w:iCs/>
          <w:color w:val="F15B67"/>
          <w:sz w:val="36"/>
          <w:szCs w:val="36"/>
          <w:bdr w:val="none" w:sz="0" w:space="0" w:color="auto" w:frame="1"/>
          <w:lang w:eastAsia="ru-RU"/>
        </w:rPr>
        <w:t>Скрепочка</w:t>
      </w:r>
      <w:proofErr w:type="spellEnd"/>
      <w:r w:rsidRPr="001A0E8E">
        <w:rPr>
          <w:rFonts w:ascii="Tahoma" w:eastAsia="Times New Roman" w:hAnsi="Tahoma" w:cs="Tahoma"/>
          <w:b/>
          <w:bCs/>
          <w:i/>
          <w:iCs/>
          <w:color w:val="F15B67"/>
          <w:sz w:val="36"/>
          <w:szCs w:val="36"/>
          <w:bdr w:val="none" w:sz="0" w:space="0" w:color="auto" w:frame="1"/>
          <w:lang w:eastAsia="ru-RU"/>
        </w:rPr>
        <w:t>» </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Малышу следует напрячь  средний и указательный пальчики и зажать между ними карандаш так, чтобы он не выскользнул. Затем нужно опускать и поднимать пальцы, стараясь, чтобы карандаш не выскользнул.</w:t>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noProof/>
          <w:color w:val="222222"/>
          <w:sz w:val="24"/>
          <w:szCs w:val="24"/>
          <w:lang w:eastAsia="ru-RU"/>
        </w:rPr>
        <w:drawing>
          <wp:inline distT="0" distB="0" distL="0" distR="0" wp14:anchorId="780E6826" wp14:editId="5BBE773C">
            <wp:extent cx="4562475" cy="3704730"/>
            <wp:effectExtent l="0" t="0" r="0" b="0"/>
            <wp:docPr id="2" name="Рисунок 2" descr="skrepochka_500x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repochka_500x4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5" cy="3704730"/>
                    </a:xfrm>
                    <a:prstGeom prst="rect">
                      <a:avLst/>
                    </a:prstGeom>
                    <a:noFill/>
                    <a:ln>
                      <a:noFill/>
                    </a:ln>
                  </pic:spPr>
                </pic:pic>
              </a:graphicData>
            </a:graphic>
          </wp:inline>
        </w:drawing>
      </w:r>
    </w:p>
    <w:p w:rsidR="001A0E8E" w:rsidRDefault="001A0E8E" w:rsidP="001A0E8E">
      <w:pPr>
        <w:shd w:val="clear" w:color="auto" w:fill="FFFFFF"/>
        <w:spacing w:after="0" w:line="396" w:lineRule="atLeast"/>
        <w:textAlignment w:val="baseline"/>
        <w:outlineLvl w:val="2"/>
        <w:rPr>
          <w:rFonts w:ascii="Tahoma" w:eastAsia="Times New Roman" w:hAnsi="Tahoma" w:cs="Tahoma"/>
          <w:color w:val="222222"/>
          <w:sz w:val="24"/>
          <w:szCs w:val="24"/>
          <w:lang w:eastAsia="ru-RU"/>
        </w:rPr>
      </w:pPr>
    </w:p>
    <w:p w:rsidR="001A0E8E" w:rsidRPr="001A0E8E" w:rsidRDefault="001A0E8E"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bdr w:val="none" w:sz="0" w:space="0" w:color="auto" w:frame="1"/>
          <w:lang w:eastAsia="ru-RU"/>
        </w:rPr>
        <w:t>Упражнение «Волшебные палочки»</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Счетные палочки, карандаши, трубочки, ручки в количестве 10 или 15 штук выкладываем на твердую поверхность. От малыша требуется ловкость для того, чтобы собрать все палочки по очереди, используя только одну руку, а потом снова их выложить по очереди на рабочую поверхность. Важно собирать и выкладывать палочки именно по одной. И нельзя помогать себе другой рукой.</w:t>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noProof/>
          <w:color w:val="222222"/>
          <w:sz w:val="24"/>
          <w:szCs w:val="24"/>
          <w:lang w:eastAsia="ru-RU"/>
        </w:rPr>
        <w:drawing>
          <wp:inline distT="0" distB="0" distL="0" distR="0" wp14:anchorId="0DF0507C" wp14:editId="574C620A">
            <wp:extent cx="4514850" cy="3012916"/>
            <wp:effectExtent l="0" t="0" r="0" b="0"/>
            <wp:docPr id="3" name="Рисунок 3" descr="gifka-s-gifius-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fka-s-gifius-r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4850" cy="3012916"/>
                    </a:xfrm>
                    <a:prstGeom prst="rect">
                      <a:avLst/>
                    </a:prstGeom>
                    <a:noFill/>
                    <a:ln>
                      <a:noFill/>
                    </a:ln>
                  </pic:spPr>
                </pic:pic>
              </a:graphicData>
            </a:graphic>
          </wp:inline>
        </w:drawing>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574B01" w:rsidRDefault="00574B01"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bdr w:val="none" w:sz="0" w:space="0" w:color="auto" w:frame="1"/>
          <w:lang w:eastAsia="ru-RU"/>
        </w:rPr>
      </w:pPr>
    </w:p>
    <w:p w:rsidR="00574B01" w:rsidRDefault="00574B01"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bdr w:val="none" w:sz="0" w:space="0" w:color="auto" w:frame="1"/>
          <w:lang w:eastAsia="ru-RU"/>
        </w:rPr>
      </w:pPr>
    </w:p>
    <w:p w:rsidR="001A0E8E" w:rsidRPr="001A0E8E" w:rsidRDefault="001A0E8E"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bdr w:val="none" w:sz="0" w:space="0" w:color="auto" w:frame="1"/>
          <w:lang w:eastAsia="ru-RU"/>
        </w:rPr>
        <w:t>Упражнение «Ловкие шаги» </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Снова напрячь средний и указательный пальчики и зажать между ними карандаш так, чтобы он не выскользнул (как в упражнении 3). Лучше держать письменный прибор на уровне вторых фаланг пальцев. Теперь с этим карандашом, так, чтобы тот не упал, делаем пальчиками очень маленькие перемещения (шажки) по рабочей поверхности стола. Нужно «пройти всю доступную поверхность в пределах территории, куда дотягивается рука малыша.</w:t>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noProof/>
          <w:color w:val="222222"/>
          <w:sz w:val="24"/>
          <w:szCs w:val="24"/>
          <w:lang w:eastAsia="ru-RU"/>
        </w:rPr>
        <w:drawing>
          <wp:inline distT="0" distB="0" distL="0" distR="0" wp14:anchorId="2859EDEE" wp14:editId="1D098434">
            <wp:extent cx="4448175" cy="2962485"/>
            <wp:effectExtent l="0" t="0" r="0" b="9525"/>
            <wp:docPr id="4" name="Рисунок 4" descr="lovkie-sha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vkie-shag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175" cy="2962485"/>
                    </a:xfrm>
                    <a:prstGeom prst="rect">
                      <a:avLst/>
                    </a:prstGeom>
                    <a:noFill/>
                    <a:ln>
                      <a:noFill/>
                    </a:ln>
                  </pic:spPr>
                </pic:pic>
              </a:graphicData>
            </a:graphic>
          </wp:inline>
        </w:drawing>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1A0E8E" w:rsidRPr="001A0E8E" w:rsidRDefault="001A0E8E"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bdr w:val="none" w:sz="0" w:space="0" w:color="auto" w:frame="1"/>
          <w:lang w:eastAsia="ru-RU"/>
        </w:rPr>
        <w:t>Упражнение «Мельница» </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xml:space="preserve">Снова напрячь указательный и средний </w:t>
      </w:r>
      <w:proofErr w:type="gramStart"/>
      <w:r w:rsidRPr="001A0E8E">
        <w:rPr>
          <w:rFonts w:ascii="Tahoma" w:eastAsia="Times New Roman" w:hAnsi="Tahoma" w:cs="Tahoma"/>
          <w:color w:val="222222"/>
          <w:sz w:val="24"/>
          <w:szCs w:val="24"/>
          <w:lang w:eastAsia="ru-RU"/>
        </w:rPr>
        <w:t>пальчики</w:t>
      </w:r>
      <w:proofErr w:type="gramEnd"/>
      <w:r w:rsidRPr="001A0E8E">
        <w:rPr>
          <w:rFonts w:ascii="Tahoma" w:eastAsia="Times New Roman" w:hAnsi="Tahoma" w:cs="Tahoma"/>
          <w:color w:val="222222"/>
          <w:sz w:val="24"/>
          <w:szCs w:val="24"/>
          <w:lang w:eastAsia="ru-RU"/>
        </w:rPr>
        <w:t xml:space="preserve"> и зажать между ними карандаш, но только самый его кончик. От малыша требуется так повернуть руку, чтобы можно было захватить второй рукой другой, свободный, кончик карандаша. Карандаш как бы совершает вращение. При этом направление письменного прибора следует соблюдать от груди. Необходимо добиться, чтобы малыш совершал не менее 7 оборотов. Но, чем больше, тем лучше.</w:t>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noProof/>
          <w:color w:val="222222"/>
          <w:sz w:val="24"/>
          <w:szCs w:val="24"/>
          <w:lang w:eastAsia="ru-RU"/>
        </w:rPr>
        <w:drawing>
          <wp:inline distT="0" distB="0" distL="0" distR="0" wp14:anchorId="0C87DAB3" wp14:editId="52DDC40B">
            <wp:extent cx="4448175" cy="2962485"/>
            <wp:effectExtent l="0" t="0" r="0" b="9525"/>
            <wp:docPr id="5" name="Рисунок 5" descr="mel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lni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8175" cy="2962485"/>
                    </a:xfrm>
                    <a:prstGeom prst="rect">
                      <a:avLst/>
                    </a:prstGeom>
                    <a:noFill/>
                    <a:ln>
                      <a:noFill/>
                    </a:ln>
                  </pic:spPr>
                </pic:pic>
              </a:graphicData>
            </a:graphic>
          </wp:inline>
        </w:drawing>
      </w:r>
    </w:p>
    <w:p w:rsidR="00574B01" w:rsidRDefault="00574B01" w:rsidP="001A0E8E">
      <w:pPr>
        <w:shd w:val="clear" w:color="auto" w:fill="FFFFFF"/>
        <w:spacing w:after="0" w:line="240" w:lineRule="auto"/>
        <w:jc w:val="both"/>
        <w:textAlignment w:val="baseline"/>
        <w:rPr>
          <w:rFonts w:ascii="Tahoma" w:eastAsia="Times New Roman" w:hAnsi="Tahoma" w:cs="Tahoma"/>
          <w:b/>
          <w:bCs/>
          <w:i/>
          <w:iCs/>
          <w:color w:val="F15B67"/>
          <w:sz w:val="36"/>
          <w:szCs w:val="36"/>
          <w:bdr w:val="none" w:sz="0" w:space="0" w:color="auto" w:frame="1"/>
          <w:lang w:eastAsia="ru-RU"/>
        </w:rPr>
      </w:pPr>
    </w:p>
    <w:p w:rsidR="001A0E8E" w:rsidRDefault="001A0E8E" w:rsidP="001A0E8E">
      <w:pPr>
        <w:shd w:val="clear" w:color="auto" w:fill="FFFFFF"/>
        <w:spacing w:after="0" w:line="240" w:lineRule="auto"/>
        <w:jc w:val="both"/>
        <w:textAlignment w:val="baseline"/>
        <w:rPr>
          <w:rFonts w:ascii="Tahoma" w:eastAsia="Times New Roman" w:hAnsi="Tahoma" w:cs="Tahoma"/>
          <w:b/>
          <w:bCs/>
          <w:i/>
          <w:iCs/>
          <w:color w:val="F15B67"/>
          <w:sz w:val="36"/>
          <w:szCs w:val="36"/>
          <w:bdr w:val="none" w:sz="0" w:space="0" w:color="auto" w:frame="1"/>
          <w:lang w:eastAsia="ru-RU"/>
        </w:rPr>
      </w:pPr>
      <w:r w:rsidRPr="001A0E8E">
        <w:rPr>
          <w:rFonts w:ascii="Tahoma" w:eastAsia="Times New Roman" w:hAnsi="Tahoma" w:cs="Tahoma"/>
          <w:b/>
          <w:bCs/>
          <w:i/>
          <w:iCs/>
          <w:color w:val="F15B67"/>
          <w:sz w:val="36"/>
          <w:szCs w:val="36"/>
          <w:bdr w:val="none" w:sz="0" w:space="0" w:color="auto" w:frame="1"/>
          <w:lang w:eastAsia="ru-RU"/>
        </w:rPr>
        <w:t>Упражнение «Шарик»</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Малышу нужно использовать свое воображение и представить, что у него в ладошках мячик небольших размеров. Теперь этот воображаемый мячик нужно перекатывать из стороны в сторону.</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noProof/>
          <w:color w:val="222222"/>
          <w:sz w:val="24"/>
          <w:szCs w:val="24"/>
          <w:lang w:eastAsia="ru-RU"/>
        </w:rPr>
        <w:drawing>
          <wp:inline distT="0" distB="0" distL="0" distR="0" wp14:anchorId="5BDB822D" wp14:editId="0F1DE0F3">
            <wp:extent cx="4181475" cy="2784863"/>
            <wp:effectExtent l="0" t="0" r="0" b="0"/>
            <wp:docPr id="6" name="Рисунок 6" descr="shar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ari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800" cy="2785080"/>
                    </a:xfrm>
                    <a:prstGeom prst="rect">
                      <a:avLst/>
                    </a:prstGeom>
                    <a:noFill/>
                    <a:ln>
                      <a:noFill/>
                    </a:ln>
                  </pic:spPr>
                </pic:pic>
              </a:graphicData>
            </a:graphic>
          </wp:inline>
        </w:drawing>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Очень часто при научении письму у детей возникает так называемый «писчий спазм». Это когда в процессе письма их пальчики начинают неметь и появляются болезненные состояния, что отбивает желание у будущего первоклассника вообще учиться писать. Это явление можно предупредить при помощи простого упражнения.</w:t>
      </w:r>
    </w:p>
    <w:p w:rsidR="005B39CA" w:rsidRDefault="005B39CA"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5B39CA" w:rsidRDefault="005B39CA"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5B39CA" w:rsidRDefault="005B39CA"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bookmarkStart w:id="0" w:name="_GoBack"/>
      <w:bookmarkEnd w:id="0"/>
    </w:p>
    <w:p w:rsidR="001A0E8E" w:rsidRDefault="001A0E8E"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b/>
          <w:bCs/>
          <w:i/>
          <w:iCs/>
          <w:color w:val="F15B67"/>
          <w:sz w:val="36"/>
          <w:szCs w:val="36"/>
          <w:bdr w:val="none" w:sz="0" w:space="0" w:color="auto" w:frame="1"/>
          <w:lang w:eastAsia="ru-RU"/>
        </w:rPr>
        <w:lastRenderedPageBreak/>
        <w:t>Упражнение «Дружба» </w:t>
      </w:r>
    </w:p>
    <w:p w:rsidR="001A0E8E" w:rsidRPr="001A0E8E" w:rsidRDefault="001A0E8E" w:rsidP="001A0E8E">
      <w:pPr>
        <w:shd w:val="clear" w:color="auto" w:fill="FFFFFF"/>
        <w:spacing w:after="0" w:line="396" w:lineRule="atLeast"/>
        <w:textAlignment w:val="baseline"/>
        <w:outlineLvl w:val="2"/>
        <w:rPr>
          <w:rFonts w:ascii="Tahoma" w:eastAsia="Times New Roman" w:hAnsi="Tahoma" w:cs="Tahoma"/>
          <w:b/>
          <w:bCs/>
          <w:i/>
          <w:iCs/>
          <w:color w:val="F15B67"/>
          <w:sz w:val="36"/>
          <w:szCs w:val="36"/>
          <w:lang w:eastAsia="ru-RU"/>
        </w:rPr>
      </w:pPr>
      <w:r w:rsidRPr="001A0E8E">
        <w:rPr>
          <w:rFonts w:ascii="Tahoma" w:eastAsia="Times New Roman" w:hAnsi="Tahoma" w:cs="Tahoma"/>
          <w:color w:val="222222"/>
          <w:sz w:val="24"/>
          <w:szCs w:val="24"/>
          <w:lang w:eastAsia="ru-RU"/>
        </w:rPr>
        <w:t xml:space="preserve">В положении сидя </w:t>
      </w:r>
      <w:proofErr w:type="gramStart"/>
      <w:r w:rsidRPr="001A0E8E">
        <w:rPr>
          <w:rFonts w:ascii="Tahoma" w:eastAsia="Times New Roman" w:hAnsi="Tahoma" w:cs="Tahoma"/>
          <w:color w:val="222222"/>
          <w:sz w:val="24"/>
          <w:szCs w:val="24"/>
          <w:lang w:eastAsia="ru-RU"/>
        </w:rPr>
        <w:t>малышу</w:t>
      </w:r>
      <w:proofErr w:type="gramEnd"/>
      <w:r w:rsidRPr="001A0E8E">
        <w:rPr>
          <w:rFonts w:ascii="Tahoma" w:eastAsia="Times New Roman" w:hAnsi="Tahoma" w:cs="Tahoma"/>
          <w:color w:val="222222"/>
          <w:sz w:val="24"/>
          <w:szCs w:val="24"/>
          <w:lang w:eastAsia="ru-RU"/>
        </w:rPr>
        <w:t xml:space="preserve"> следует поставить ручки на уровень глаз, соединив ладони друг с другом. Потом одну ладонь необходимо сдвинуть немного вниз, а пальцы другой руки согнуть и как бы обнять пальцы сдвинутой вниз ладошки. Перед выполнением таких ручных «объятий» вдыхаем носом, и выдыхаем непосредственно в процессе выполнения упражнения. Делать упражнение нужно двумя руками по очереди, раз 10 – 15.</w:t>
      </w:r>
    </w:p>
    <w:p w:rsidR="001A0E8E" w:rsidRP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noProof/>
          <w:color w:val="222222"/>
          <w:sz w:val="24"/>
          <w:szCs w:val="24"/>
          <w:lang w:eastAsia="ru-RU"/>
        </w:rPr>
        <w:drawing>
          <wp:inline distT="0" distB="0" distL="0" distR="0" wp14:anchorId="084B93A3" wp14:editId="566B8105">
            <wp:extent cx="3838575" cy="2556491"/>
            <wp:effectExtent l="0" t="0" r="0" b="0"/>
            <wp:docPr id="7" name="Рисунок 7" descr="druzh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uzhb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8575" cy="2556491"/>
                    </a:xfrm>
                    <a:prstGeom prst="rect">
                      <a:avLst/>
                    </a:prstGeom>
                    <a:noFill/>
                    <a:ln>
                      <a:noFill/>
                    </a:ln>
                  </pic:spPr>
                </pic:pic>
              </a:graphicData>
            </a:graphic>
          </wp:inline>
        </w:drawing>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1A0E8E">
        <w:rPr>
          <w:rFonts w:ascii="Tahoma" w:eastAsia="Times New Roman" w:hAnsi="Tahoma" w:cs="Tahoma"/>
          <w:color w:val="222222"/>
          <w:sz w:val="24"/>
          <w:szCs w:val="24"/>
          <w:lang w:eastAsia="ru-RU"/>
        </w:rPr>
        <w:t xml:space="preserve">Также считаем необходимым упомянуть, что, прежде чем обучать своего малыша, необходимо определить его ведущую руку. Сейчас </w:t>
      </w:r>
      <w:proofErr w:type="spellStart"/>
      <w:r w:rsidRPr="001A0E8E">
        <w:rPr>
          <w:rFonts w:ascii="Tahoma" w:eastAsia="Times New Roman" w:hAnsi="Tahoma" w:cs="Tahoma"/>
          <w:color w:val="222222"/>
          <w:sz w:val="24"/>
          <w:szCs w:val="24"/>
          <w:lang w:eastAsia="ru-RU"/>
        </w:rPr>
        <w:t>левшество</w:t>
      </w:r>
      <w:proofErr w:type="spellEnd"/>
      <w:r w:rsidRPr="001A0E8E">
        <w:rPr>
          <w:rFonts w:ascii="Tahoma" w:eastAsia="Times New Roman" w:hAnsi="Tahoma" w:cs="Tahoma"/>
          <w:color w:val="222222"/>
          <w:sz w:val="24"/>
          <w:szCs w:val="24"/>
          <w:lang w:eastAsia="ru-RU"/>
        </w:rPr>
        <w:t xml:space="preserve"> или скрытое </w:t>
      </w:r>
      <w:proofErr w:type="spellStart"/>
      <w:r w:rsidRPr="001A0E8E">
        <w:rPr>
          <w:rFonts w:ascii="Tahoma" w:eastAsia="Times New Roman" w:hAnsi="Tahoma" w:cs="Tahoma"/>
          <w:color w:val="222222"/>
          <w:sz w:val="24"/>
          <w:szCs w:val="24"/>
          <w:lang w:eastAsia="ru-RU"/>
        </w:rPr>
        <w:t>левшество</w:t>
      </w:r>
      <w:proofErr w:type="spellEnd"/>
      <w:r w:rsidRPr="001A0E8E">
        <w:rPr>
          <w:rFonts w:ascii="Tahoma" w:eastAsia="Times New Roman" w:hAnsi="Tahoma" w:cs="Tahoma"/>
          <w:color w:val="222222"/>
          <w:sz w:val="24"/>
          <w:szCs w:val="24"/>
          <w:lang w:eastAsia="ru-RU"/>
        </w:rPr>
        <w:t xml:space="preserve"> встречается гораздо чаще, чем это было ранее. Важно это потому, что у левшей совершенно по-другому происходит распределение функций между полушариями головного мозга.</w:t>
      </w:r>
    </w:p>
    <w:p w:rsidR="001A0E8E" w:rsidRDefault="001A0E8E" w:rsidP="001A0E8E">
      <w:pPr>
        <w:shd w:val="clear" w:color="auto" w:fill="FFFFFF"/>
        <w:spacing w:after="0" w:line="240" w:lineRule="auto"/>
        <w:jc w:val="both"/>
        <w:textAlignment w:val="baseline"/>
        <w:rPr>
          <w:rFonts w:ascii="Tahoma" w:eastAsia="Times New Roman" w:hAnsi="Tahoma" w:cs="Tahoma"/>
          <w:color w:val="222222"/>
          <w:sz w:val="24"/>
          <w:szCs w:val="24"/>
          <w:lang w:eastAsia="ru-RU"/>
        </w:rPr>
      </w:pPr>
    </w:p>
    <w:p w:rsidR="00574B01" w:rsidRDefault="00574B01" w:rsidP="001A0E8E">
      <w:pPr>
        <w:shd w:val="clear" w:color="auto" w:fill="FFFFFF"/>
        <w:spacing w:after="0" w:line="396" w:lineRule="atLeast"/>
        <w:jc w:val="both"/>
        <w:textAlignment w:val="baseline"/>
        <w:outlineLvl w:val="2"/>
        <w:rPr>
          <w:rFonts w:ascii="Tahoma" w:eastAsia="Times New Roman" w:hAnsi="Tahoma" w:cs="Tahoma"/>
          <w:color w:val="222222"/>
          <w:sz w:val="24"/>
          <w:szCs w:val="24"/>
          <w:lang w:eastAsia="ru-RU"/>
        </w:rPr>
      </w:pPr>
    </w:p>
    <w:p w:rsidR="001A0E8E" w:rsidRDefault="001A0E8E" w:rsidP="001A0E8E">
      <w:pPr>
        <w:pStyle w:val="a3"/>
      </w:pPr>
    </w:p>
    <w:sectPr w:rsidR="001A0E8E" w:rsidSect="001A0E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32C80"/>
    <w:multiLevelType w:val="multilevel"/>
    <w:tmpl w:val="C454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E8E"/>
    <w:rsid w:val="000706AE"/>
    <w:rsid w:val="001A0E8E"/>
    <w:rsid w:val="00574B01"/>
    <w:rsid w:val="005B39CA"/>
    <w:rsid w:val="00A31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0E8E"/>
    <w:pPr>
      <w:spacing w:after="0" w:line="240" w:lineRule="auto"/>
    </w:pPr>
  </w:style>
  <w:style w:type="paragraph" w:styleId="a4">
    <w:name w:val="Balloon Text"/>
    <w:basedOn w:val="a"/>
    <w:link w:val="a5"/>
    <w:uiPriority w:val="99"/>
    <w:semiHidden/>
    <w:unhideWhenUsed/>
    <w:rsid w:val="001A0E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0E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0E8E"/>
    <w:pPr>
      <w:spacing w:after="0" w:line="240" w:lineRule="auto"/>
    </w:pPr>
  </w:style>
  <w:style w:type="paragraph" w:styleId="a4">
    <w:name w:val="Balloon Text"/>
    <w:basedOn w:val="a"/>
    <w:link w:val="a5"/>
    <w:uiPriority w:val="99"/>
    <w:semiHidden/>
    <w:unhideWhenUsed/>
    <w:rsid w:val="001A0E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0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12582">
      <w:bodyDiv w:val="1"/>
      <w:marLeft w:val="0"/>
      <w:marRight w:val="0"/>
      <w:marTop w:val="0"/>
      <w:marBottom w:val="0"/>
      <w:divBdr>
        <w:top w:val="none" w:sz="0" w:space="0" w:color="auto"/>
        <w:left w:val="none" w:sz="0" w:space="0" w:color="auto"/>
        <w:bottom w:val="none" w:sz="0" w:space="0" w:color="auto"/>
        <w:right w:val="none" w:sz="0" w:space="0" w:color="auto"/>
      </w:divBdr>
    </w:div>
    <w:div w:id="1441143920">
      <w:bodyDiv w:val="1"/>
      <w:marLeft w:val="0"/>
      <w:marRight w:val="0"/>
      <w:marTop w:val="0"/>
      <w:marBottom w:val="0"/>
      <w:divBdr>
        <w:top w:val="none" w:sz="0" w:space="0" w:color="auto"/>
        <w:left w:val="none" w:sz="0" w:space="0" w:color="auto"/>
        <w:bottom w:val="none" w:sz="0" w:space="0" w:color="auto"/>
        <w:right w:val="none" w:sz="0" w:space="0" w:color="auto"/>
      </w:divBdr>
    </w:div>
    <w:div w:id="17471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hyperlink" Target="https://tsvetyzhizni.ru/tvorcheskaya-minutka/applikaciya-dlya-samyx-malenkix.html" TargetMode="External"/><Relationship Id="rId12"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gif"/><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466C9-BF02-4055-878F-532A2BB9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737</Words>
  <Characters>4204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2018-09-02T08:07:00Z</dcterms:created>
  <dcterms:modified xsi:type="dcterms:W3CDTF">2022-01-04T12:20:00Z</dcterms:modified>
</cp:coreProperties>
</file>